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E67B" w14:textId="77777777" w:rsidR="00623141" w:rsidRPr="001A6414" w:rsidRDefault="00623141" w:rsidP="00623141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pacing w:val="-2"/>
        </w:rPr>
      </w:pPr>
      <w:r w:rsidRPr="008A5650">
        <w:rPr>
          <w:rFonts w:ascii="Arial" w:hAnsi="Arial" w:cs="Arial"/>
          <w:szCs w:val="24"/>
          <w:u w:val="single"/>
        </w:rPr>
        <w:tab/>
      </w:r>
      <w:r w:rsidRPr="008A5650">
        <w:rPr>
          <w:rFonts w:ascii="Arial" w:hAnsi="Arial" w:cs="Arial"/>
          <w:b/>
          <w:bCs/>
          <w:szCs w:val="24"/>
        </w:rPr>
        <w:t xml:space="preserve">Court of Washington, County of </w:t>
      </w:r>
      <w:r w:rsidRPr="008A5650">
        <w:rPr>
          <w:rFonts w:ascii="Arial" w:hAnsi="Arial" w:cs="Arial"/>
          <w:szCs w:val="24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623141" w:rsidRPr="001A6414" w14:paraId="1EDE747D" w14:textId="77777777" w:rsidTr="008A5650">
        <w:trPr>
          <w:cantSplit/>
        </w:trPr>
        <w:tc>
          <w:tcPr>
            <w:tcW w:w="5400" w:type="dxa"/>
            <w:tcBorders>
              <w:right w:val="single" w:sz="6" w:space="0" w:color="auto"/>
            </w:tcBorders>
          </w:tcPr>
          <w:p w14:paraId="0CC1EC2E" w14:textId="77777777" w:rsidR="00623141" w:rsidRPr="007A4E66" w:rsidRDefault="00623141" w:rsidP="008A5650">
            <w:pPr>
              <w:tabs>
                <w:tab w:val="left" w:pos="-720"/>
              </w:tabs>
              <w:spacing w:after="1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68E5EFB" w14:textId="77777777" w:rsidR="00623141" w:rsidRPr="007A4E66" w:rsidRDefault="00623141" w:rsidP="008A5650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8A5650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7A4E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</w:tr>
      <w:tr w:rsidR="00623141" w:rsidRPr="001A6414" w14:paraId="004F7390" w14:textId="77777777" w:rsidTr="008A5650">
        <w:trPr>
          <w:cantSplit/>
        </w:trPr>
        <w:tc>
          <w:tcPr>
            <w:tcW w:w="5400" w:type="dxa"/>
            <w:tcBorders>
              <w:left w:val="nil"/>
              <w:bottom w:val="single" w:sz="30" w:space="0" w:color="auto"/>
              <w:right w:val="single" w:sz="6" w:space="0" w:color="auto"/>
            </w:tcBorders>
          </w:tcPr>
          <w:p w14:paraId="5727A6D1" w14:textId="77777777" w:rsidR="00623141" w:rsidRPr="00507E46" w:rsidRDefault="00623141" w:rsidP="008A5650">
            <w:pPr>
              <w:tabs>
                <w:tab w:val="left" w:pos="4830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377DBD" w14:textId="77777777" w:rsidR="00623141" w:rsidRPr="00507E46" w:rsidRDefault="00623141" w:rsidP="008A565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DOB</w:t>
            </w:r>
          </w:p>
          <w:p w14:paraId="16DF7F06" w14:textId="77777777" w:rsidR="00623141" w:rsidRPr="00507E46" w:rsidRDefault="00623141" w:rsidP="008A5650">
            <w:pPr>
              <w:tabs>
                <w:tab w:val="left" w:pos="-720"/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718C7F9" w14:textId="77777777" w:rsidR="00623141" w:rsidRPr="00507E46" w:rsidRDefault="00623141" w:rsidP="008A5650">
            <w:pPr>
              <w:tabs>
                <w:tab w:val="left" w:pos="-720"/>
                <w:tab w:val="left" w:pos="4830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CBC572D" w14:textId="77777777" w:rsidR="00623141" w:rsidRPr="007A4E66" w:rsidRDefault="00623141" w:rsidP="008A5650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-3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DOB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50692A45" w14:textId="49632625" w:rsidR="00623141" w:rsidRDefault="00623141" w:rsidP="00AD1A0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Finding of Adequate Cause and Order for Hearing on Restrained Person’s Motion to Modify or Terminate Protection Order</w:t>
            </w:r>
          </w:p>
          <w:p w14:paraId="7BBB3EF7" w14:textId="0700B3A3" w:rsidR="00623141" w:rsidRDefault="00623141" w:rsidP="00AD1A0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(ORRACG/ORH)</w:t>
            </w:r>
          </w:p>
          <w:p w14:paraId="6D87797F" w14:textId="0C6F047C" w:rsidR="00623141" w:rsidRDefault="00623141" w:rsidP="008A5650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Action Required: 4</w:t>
            </w:r>
          </w:p>
          <w:p w14:paraId="1A0BC8E3" w14:textId="68C49DB4" w:rsidR="00623141" w:rsidRDefault="00623141" w:rsidP="008A5650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Hearing:</w:t>
            </w:r>
          </w:p>
          <w:p w14:paraId="014CF494" w14:textId="4608FD52" w:rsidR="00623141" w:rsidRPr="00AD1A00" w:rsidRDefault="00623141" w:rsidP="008A5650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Pr="00AD1A00">
              <w:rPr>
                <w:rFonts w:ascii="Arial" w:hAnsi="Arial" w:cs="Arial"/>
                <w:b/>
                <w:sz w:val="22"/>
                <w:szCs w:val="22"/>
              </w:rPr>
              <w:t>How to Attend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end of this order.</w:t>
            </w:r>
          </w:p>
        </w:tc>
      </w:tr>
    </w:tbl>
    <w:p w14:paraId="36069ADC" w14:textId="4498E890" w:rsidR="00E43DCE" w:rsidRPr="00AD1A00" w:rsidRDefault="00E43DCE" w:rsidP="00290FC5">
      <w:pPr>
        <w:pStyle w:val="BodyTextIndent"/>
        <w:spacing w:after="0"/>
        <w:ind w:left="1152"/>
        <w:jc w:val="left"/>
        <w:outlineLvl w:val="0"/>
        <w:rPr>
          <w:sz w:val="28"/>
          <w:szCs w:val="28"/>
        </w:rPr>
      </w:pPr>
      <w:r w:rsidRPr="00AD1A00">
        <w:rPr>
          <w:sz w:val="28"/>
          <w:szCs w:val="28"/>
        </w:rPr>
        <w:t>Finding of Adequate Cause and Order for Hearing on Res</w:t>
      </w:r>
      <w:r w:rsidR="002C2260" w:rsidRPr="00AD1A00">
        <w:rPr>
          <w:sz w:val="28"/>
          <w:szCs w:val="28"/>
        </w:rPr>
        <w:t>trained Person</w:t>
      </w:r>
      <w:r w:rsidRPr="00AD1A00">
        <w:rPr>
          <w:sz w:val="28"/>
          <w:szCs w:val="28"/>
        </w:rPr>
        <w:t>’s Motion to Modify</w:t>
      </w:r>
      <w:r w:rsidR="00165F1A" w:rsidRPr="00AD1A00">
        <w:rPr>
          <w:sz w:val="28"/>
          <w:szCs w:val="28"/>
        </w:rPr>
        <w:t xml:space="preserve"> or </w:t>
      </w:r>
      <w:r w:rsidRPr="00AD1A00">
        <w:rPr>
          <w:sz w:val="28"/>
          <w:szCs w:val="28"/>
        </w:rPr>
        <w:t>Terminate Protection Order</w:t>
      </w:r>
    </w:p>
    <w:p w14:paraId="366FC376" w14:textId="5446C296" w:rsidR="00C00270" w:rsidRPr="00BA5509" w:rsidRDefault="00C00270" w:rsidP="00290FC5">
      <w:pPr>
        <w:pStyle w:val="PO5indenthanging"/>
        <w:spacing w:after="0"/>
        <w:ind w:left="720" w:hanging="720"/>
        <w:outlineLvl w:val="1"/>
      </w:pPr>
      <w:r w:rsidRPr="00AD1A00">
        <w:rPr>
          <w:b/>
        </w:rPr>
        <w:t>1.</w:t>
      </w:r>
      <w:r>
        <w:tab/>
      </w:r>
      <w:r>
        <w:rPr>
          <w:b/>
        </w:rPr>
        <w:t xml:space="preserve">Hearing. </w:t>
      </w:r>
      <w:r w:rsidR="00A528FB" w:rsidRPr="006B33D7">
        <w:t xml:space="preserve">The court held a hearing on </w:t>
      </w:r>
      <w:r w:rsidR="006F2BA9" w:rsidRPr="006B33D7">
        <w:t>(</w:t>
      </w:r>
      <w:r w:rsidR="006F2BA9" w:rsidRPr="00A528FB">
        <w:rPr>
          <w:i/>
        </w:rPr>
        <w:t>date</w:t>
      </w:r>
      <w:r w:rsidR="006F2BA9" w:rsidRPr="006B33D7">
        <w:t>)</w:t>
      </w:r>
      <w:r w:rsidR="006F2BA9">
        <w:t xml:space="preserve"> </w:t>
      </w:r>
      <w:r w:rsidR="00A528FB" w:rsidRPr="006B33D7">
        <w:t xml:space="preserve">____________________________ and considered the </w:t>
      </w:r>
      <w:r w:rsidR="002C2260" w:rsidRPr="006B33D7">
        <w:t>Res</w:t>
      </w:r>
      <w:r w:rsidR="002C2260">
        <w:t>trained Person</w:t>
      </w:r>
      <w:r w:rsidR="002C2260" w:rsidRPr="006B33D7">
        <w:t>’s</w:t>
      </w:r>
      <w:r w:rsidR="002C2260">
        <w:t xml:space="preserve"> </w:t>
      </w:r>
      <w:r w:rsidR="00A528FB" w:rsidRPr="008E2390">
        <w:t xml:space="preserve">motion to modify or terminate the protection order that was </w:t>
      </w:r>
      <w:r w:rsidR="006D17D0">
        <w:t>granted</w:t>
      </w:r>
      <w:r w:rsidR="006D17D0" w:rsidRPr="008E2390">
        <w:t xml:space="preserve"> </w:t>
      </w:r>
      <w:r w:rsidR="00A528FB" w:rsidRPr="008E2390">
        <w:t xml:space="preserve">on </w:t>
      </w:r>
      <w:r w:rsidR="006F2BA9" w:rsidRPr="008E2390">
        <w:t>(</w:t>
      </w:r>
      <w:r w:rsidR="006F2BA9" w:rsidRPr="00A528FB">
        <w:rPr>
          <w:i/>
        </w:rPr>
        <w:t>date</w:t>
      </w:r>
      <w:r w:rsidR="006F2BA9">
        <w:t xml:space="preserve">) </w:t>
      </w:r>
      <w:r w:rsidR="00A528FB" w:rsidRPr="008E2390">
        <w:t>________________</w:t>
      </w:r>
      <w:r w:rsidR="00A528FB">
        <w:t>,</w:t>
      </w:r>
      <w:r w:rsidR="00A528FB" w:rsidRPr="006B33D7">
        <w:t xml:space="preserve"> and any</w:t>
      </w:r>
      <w:r w:rsidR="00A528FB">
        <w:t xml:space="preserve"> </w:t>
      </w:r>
      <w:r w:rsidR="00A528FB" w:rsidRPr="006B33D7">
        <w:t xml:space="preserve">declarations. </w:t>
      </w:r>
      <w:r w:rsidRPr="00C952C2">
        <w:t xml:space="preserve">These people </w:t>
      </w:r>
      <w:r w:rsidRPr="00385BA8">
        <w:t>attended</w:t>
      </w:r>
      <w:r w:rsidRPr="00BA5509">
        <w:t>:</w:t>
      </w:r>
    </w:p>
    <w:p w14:paraId="78AA6207" w14:textId="77777777" w:rsidR="00C00270" w:rsidRPr="00BA5509" w:rsidRDefault="00C00270">
      <w:pPr>
        <w:tabs>
          <w:tab w:val="left" w:pos="5040"/>
        </w:tabs>
        <w:spacing w:before="120"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</w:t>
      </w:r>
      <w:r w:rsidRPr="00BA5509">
        <w:rPr>
          <w:rFonts w:ascii="Arial" w:hAnsi="Arial" w:cs="Arial"/>
          <w:sz w:val="22"/>
          <w:szCs w:val="22"/>
        </w:rPr>
        <w:tab/>
        <w:t>[  ] 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3B7F906B" w14:textId="77777777" w:rsidR="00C00270" w:rsidRPr="00BA5509" w:rsidRDefault="00C00270" w:rsidP="00C00270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Person’s Lawyer</w:t>
      </w:r>
      <w:r w:rsidRPr="00BA5509">
        <w:rPr>
          <w:rFonts w:ascii="Arial" w:hAnsi="Arial" w:cs="Arial"/>
          <w:sz w:val="22"/>
          <w:szCs w:val="22"/>
        </w:rPr>
        <w:tab/>
        <w:t>[  ] 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27D425AD" w14:textId="77777777" w:rsidR="00C00270" w:rsidRPr="00BA5509" w:rsidRDefault="00C00270" w:rsidP="00C00270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Petitioner (</w:t>
      </w:r>
      <w:r w:rsidRPr="00290FC5">
        <w:rPr>
          <w:rFonts w:ascii="Arial" w:hAnsi="Arial" w:cs="Arial"/>
          <w:i/>
          <w:iCs/>
          <w:sz w:val="20"/>
        </w:rPr>
        <w:t xml:space="preserve">if not the protected </w:t>
      </w:r>
      <w:proofErr w:type="gramStart"/>
      <w:r w:rsidRPr="00290FC5">
        <w:rPr>
          <w:rFonts w:ascii="Arial" w:hAnsi="Arial" w:cs="Arial"/>
          <w:i/>
          <w:iCs/>
          <w:sz w:val="20"/>
        </w:rPr>
        <w:t>person</w:t>
      </w:r>
      <w:r w:rsidRPr="00BA5509">
        <w:rPr>
          <w:rFonts w:ascii="Arial" w:hAnsi="Arial" w:cs="Arial"/>
          <w:sz w:val="22"/>
          <w:szCs w:val="22"/>
        </w:rPr>
        <w:t>)</w:t>
      </w:r>
      <w:r w:rsidRPr="00BA5509">
        <w:rPr>
          <w:rFonts w:ascii="Arial" w:hAnsi="Arial" w:cs="Arial"/>
          <w:sz w:val="22"/>
          <w:szCs w:val="22"/>
        </w:rPr>
        <w:tab/>
        <w:t xml:space="preserve">[  ] </w:t>
      </w:r>
      <w:proofErr w:type="gramEnd"/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10B6184C" w14:textId="77777777" w:rsidR="00C00270" w:rsidRDefault="00C00270" w:rsidP="00C00270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  <w:t>[  ] in person</w:t>
      </w:r>
      <w:r w:rsidRPr="00385BA8">
        <w:rPr>
          <w:rFonts w:ascii="Arial" w:hAnsi="Arial" w:cs="Arial"/>
          <w:sz w:val="22"/>
          <w:szCs w:val="22"/>
        </w:rPr>
        <w:tab/>
        <w:t>[  ] by phone</w:t>
      </w:r>
      <w:r w:rsidRPr="00385BA8">
        <w:rPr>
          <w:rFonts w:ascii="Arial" w:hAnsi="Arial" w:cs="Arial"/>
          <w:sz w:val="22"/>
          <w:szCs w:val="22"/>
        </w:rPr>
        <w:tab/>
        <w:t>[  ] by video</w:t>
      </w:r>
    </w:p>
    <w:p w14:paraId="34CEC2CC" w14:textId="77777777" w:rsidR="00C00270" w:rsidRDefault="00C00270" w:rsidP="00C00270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7B13E5DF" w14:textId="77777777" w:rsidR="00C00270" w:rsidRDefault="00C00270" w:rsidP="00C00270">
      <w:pPr>
        <w:tabs>
          <w:tab w:val="left" w:pos="4860"/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Other: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31362104" w14:textId="77777777" w:rsidR="00A528FB" w:rsidRPr="006B33D7" w:rsidRDefault="00C00270" w:rsidP="00290FC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720" w:hanging="720"/>
        <w:textAlignment w:val="auto"/>
        <w:outlineLvl w:val="1"/>
        <w:rPr>
          <w:rFonts w:ascii="Arial" w:hAnsi="Arial" w:cs="Arial"/>
          <w:sz w:val="22"/>
          <w:szCs w:val="22"/>
        </w:rPr>
      </w:pPr>
      <w:r w:rsidRPr="00AD1A00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C0496F">
        <w:rPr>
          <w:rFonts w:ascii="Arial" w:hAnsi="Arial" w:cs="Arial"/>
          <w:b/>
          <w:sz w:val="22"/>
          <w:szCs w:val="22"/>
        </w:rPr>
        <w:t xml:space="preserve">Findings. </w:t>
      </w:r>
      <w:r w:rsidR="00A528FB" w:rsidRPr="006B33D7">
        <w:rPr>
          <w:rFonts w:ascii="Arial" w:hAnsi="Arial" w:cs="Arial"/>
          <w:sz w:val="22"/>
          <w:szCs w:val="22"/>
        </w:rPr>
        <w:t>The court makes the following findings:</w:t>
      </w:r>
    </w:p>
    <w:p w14:paraId="24B65845" w14:textId="3AFB13ED" w:rsidR="00416F3D" w:rsidRPr="00055163" w:rsidRDefault="00A528FB" w:rsidP="00AD1A00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055163">
        <w:rPr>
          <w:rFonts w:ascii="Arial" w:hAnsi="Arial" w:cs="Arial"/>
          <w:sz w:val="22"/>
          <w:szCs w:val="22"/>
        </w:rPr>
        <w:t>This court has jurisdiction over the proceedings and the parties.</w:t>
      </w:r>
      <w:r w:rsidR="00165F1A" w:rsidRPr="00055163">
        <w:rPr>
          <w:rFonts w:ascii="Arial" w:hAnsi="Arial" w:cs="Arial"/>
          <w:sz w:val="22"/>
          <w:szCs w:val="22"/>
        </w:rPr>
        <w:t xml:space="preserve"> </w:t>
      </w:r>
      <w:r w:rsidRPr="00055163">
        <w:rPr>
          <w:rFonts w:ascii="Arial" w:hAnsi="Arial" w:cs="Arial"/>
          <w:sz w:val="22"/>
          <w:szCs w:val="22"/>
        </w:rPr>
        <w:t xml:space="preserve">The court finds </w:t>
      </w:r>
      <w:r w:rsidR="003041BF" w:rsidRPr="00055163">
        <w:rPr>
          <w:rFonts w:ascii="Arial" w:hAnsi="Arial" w:cs="Arial"/>
          <w:sz w:val="22"/>
          <w:szCs w:val="22"/>
        </w:rPr>
        <w:t xml:space="preserve">that this is the </w:t>
      </w:r>
      <w:r w:rsidR="002C2260" w:rsidRPr="00AD1A00">
        <w:rPr>
          <w:rFonts w:ascii="Arial" w:hAnsi="Arial" w:cs="Arial"/>
          <w:sz w:val="22"/>
          <w:szCs w:val="22"/>
        </w:rPr>
        <w:t>Restrained Person’s</w:t>
      </w:r>
      <w:r w:rsidR="003041BF" w:rsidRPr="00055163">
        <w:rPr>
          <w:rFonts w:ascii="Arial" w:hAnsi="Arial" w:cs="Arial"/>
          <w:sz w:val="22"/>
          <w:szCs w:val="22"/>
        </w:rPr>
        <w:t xml:space="preserve"> </w:t>
      </w:r>
      <w:r w:rsidR="003041BF" w:rsidRPr="00055163">
        <w:rPr>
          <w:rFonts w:ascii="Arial" w:hAnsi="Arial" w:cs="Arial"/>
          <w:b/>
          <w:sz w:val="22"/>
          <w:szCs w:val="22"/>
        </w:rPr>
        <w:t>only</w:t>
      </w:r>
      <w:r w:rsidR="003041BF" w:rsidRPr="00055163">
        <w:rPr>
          <w:rFonts w:ascii="Arial" w:hAnsi="Arial" w:cs="Arial"/>
          <w:sz w:val="22"/>
          <w:szCs w:val="22"/>
        </w:rPr>
        <w:t xml:space="preserve"> motion to modify or terminate filed during the current 12-month peri</w:t>
      </w:r>
      <w:r w:rsidR="00AF4C64" w:rsidRPr="00055163">
        <w:rPr>
          <w:rFonts w:ascii="Arial" w:hAnsi="Arial" w:cs="Arial"/>
          <w:sz w:val="22"/>
          <w:szCs w:val="22"/>
        </w:rPr>
        <w:t>od following entry of the order</w:t>
      </w:r>
      <w:r w:rsidR="00C5032B" w:rsidRPr="00055163">
        <w:rPr>
          <w:rFonts w:ascii="Arial" w:hAnsi="Arial" w:cs="Arial"/>
          <w:sz w:val="22"/>
          <w:szCs w:val="22"/>
        </w:rPr>
        <w:t>.</w:t>
      </w:r>
    </w:p>
    <w:p w14:paraId="785E9D52" w14:textId="113EFBBB" w:rsidR="001162AF" w:rsidRDefault="001162AF" w:rsidP="00AD1A00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AD1A00">
        <w:rPr>
          <w:rFonts w:ascii="Arial" w:hAnsi="Arial" w:cs="Arial"/>
          <w:b/>
          <w:sz w:val="22"/>
          <w:szCs w:val="22"/>
        </w:rPr>
        <w:t>Adequate Cause:</w:t>
      </w:r>
      <w:r w:rsidR="00165F1A">
        <w:rPr>
          <w:rFonts w:ascii="Arial" w:hAnsi="Arial" w:cs="Arial"/>
          <w:sz w:val="22"/>
          <w:szCs w:val="22"/>
        </w:rPr>
        <w:t xml:space="preserve"> </w:t>
      </w:r>
      <w:r w:rsidR="0075569A">
        <w:rPr>
          <w:rFonts w:ascii="Arial" w:hAnsi="Arial" w:cs="Arial"/>
          <w:sz w:val="22"/>
          <w:szCs w:val="22"/>
        </w:rPr>
        <w:t>The Restrained Person established adequate cause for hearing the motion.</w:t>
      </w:r>
    </w:p>
    <w:p w14:paraId="1839A67E" w14:textId="39A3CD95" w:rsidR="00457513" w:rsidRDefault="0075569A" w:rsidP="00AD1A00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Other: </w:t>
      </w:r>
      <w:r w:rsidR="00457513" w:rsidRPr="00AD1A00">
        <w:rPr>
          <w:rFonts w:ascii="Arial" w:hAnsi="Arial" w:cs="Arial"/>
          <w:sz w:val="22"/>
          <w:szCs w:val="22"/>
          <w:u w:val="single"/>
        </w:rPr>
        <w:tab/>
      </w:r>
    </w:p>
    <w:p w14:paraId="76B4FE85" w14:textId="77777777" w:rsidR="00C00270" w:rsidRDefault="00C00270" w:rsidP="00290FC5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020"/>
        </w:tabs>
        <w:overflowPunct/>
        <w:autoSpaceDE/>
        <w:autoSpaceDN/>
        <w:adjustRightInd/>
        <w:spacing w:before="120"/>
        <w:ind w:left="720" w:hanging="720"/>
        <w:textAlignment w:val="auto"/>
        <w:outlineLvl w:val="1"/>
        <w:rPr>
          <w:rFonts w:ascii="Arial" w:hAnsi="Arial" w:cs="Arial"/>
          <w:sz w:val="22"/>
          <w:szCs w:val="22"/>
        </w:rPr>
      </w:pPr>
      <w:r w:rsidRPr="0030528C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>.</w:t>
      </w:r>
    </w:p>
    <w:p w14:paraId="2E7FCA7A" w14:textId="56EEB853" w:rsidR="00C00270" w:rsidRDefault="00C00270" w:rsidP="0030528C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F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motion is granted.</w:t>
      </w:r>
    </w:p>
    <w:p w14:paraId="02446160" w14:textId="5E8B45C7" w:rsidR="004B0CE8" w:rsidRDefault="00C00270" w:rsidP="0030528C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020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CE8">
        <w:rPr>
          <w:rFonts w:ascii="Arial" w:hAnsi="Arial" w:cs="Arial"/>
          <w:sz w:val="22"/>
          <w:szCs w:val="22"/>
        </w:rPr>
        <w:t>A hearing is set for</w:t>
      </w:r>
      <w:r w:rsidR="00B4094E">
        <w:rPr>
          <w:rFonts w:ascii="Arial" w:hAnsi="Arial" w:cs="Arial"/>
          <w:sz w:val="22"/>
          <w:szCs w:val="22"/>
        </w:rPr>
        <w:t xml:space="preserve"> </w:t>
      </w:r>
      <w:r w:rsidR="0075569A">
        <w:rPr>
          <w:rFonts w:ascii="Arial" w:hAnsi="Arial" w:cs="Arial"/>
          <w:spacing w:val="-2"/>
          <w:sz w:val="22"/>
          <w:szCs w:val="22"/>
        </w:rPr>
        <w:t>the date and time listed on page 1.</w:t>
      </w:r>
    </w:p>
    <w:p w14:paraId="14583E99" w14:textId="7A7ABA93" w:rsidR="00CD08F7" w:rsidRDefault="00CD08F7" w:rsidP="00290FC5">
      <w:pPr>
        <w:overflowPunct/>
        <w:autoSpaceDE/>
        <w:autoSpaceDN/>
        <w:adjustRightInd/>
        <w:spacing w:before="120"/>
        <w:ind w:left="720" w:hanging="720"/>
        <w:textAlignment w:val="auto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  <w:t>Service on the P</w:t>
      </w:r>
      <w:r w:rsidR="0075569A">
        <w:rPr>
          <w:rFonts w:ascii="Arial" w:hAnsi="Arial" w:cs="Arial"/>
          <w:b/>
          <w:bCs/>
          <w:sz w:val="22"/>
          <w:szCs w:val="22"/>
        </w:rPr>
        <w:t>rotected Person</w:t>
      </w:r>
      <w:r w:rsidR="00071532">
        <w:rPr>
          <w:rFonts w:ascii="Arial" w:hAnsi="Arial" w:cs="Arial"/>
          <w:b/>
          <w:bCs/>
          <w:sz w:val="22"/>
          <w:szCs w:val="22"/>
        </w:rPr>
        <w:t xml:space="preserve"> (or Petitioner on their Behalf)</w:t>
      </w:r>
    </w:p>
    <w:p w14:paraId="18663932" w14:textId="1FD83167" w:rsidR="00CD08F7" w:rsidRDefault="00CD08F7" w:rsidP="00CD08F7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9D7998"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 w:rsidRPr="00F035C1">
        <w:rPr>
          <w:rFonts w:ascii="Arial" w:hAnsi="Arial" w:cs="Arial"/>
          <w:b/>
          <w:sz w:val="22"/>
          <w:szCs w:val="22"/>
        </w:rPr>
        <w:t>Required</w:t>
      </w:r>
      <w:r>
        <w:rPr>
          <w:rFonts w:ascii="Arial" w:hAnsi="Arial" w:cs="Arial"/>
          <w:bCs/>
          <w:sz w:val="22"/>
          <w:szCs w:val="22"/>
        </w:rPr>
        <w:t>. The p</w:t>
      </w:r>
      <w:r w:rsidR="0075569A">
        <w:rPr>
          <w:rFonts w:ascii="Arial" w:hAnsi="Arial" w:cs="Arial"/>
          <w:bCs/>
          <w:sz w:val="22"/>
          <w:szCs w:val="22"/>
        </w:rPr>
        <w:t>rotected person</w:t>
      </w:r>
      <w:r>
        <w:rPr>
          <w:rFonts w:ascii="Arial" w:hAnsi="Arial" w:cs="Arial"/>
          <w:bCs/>
          <w:sz w:val="22"/>
          <w:szCs w:val="22"/>
        </w:rPr>
        <w:t xml:space="preserve"> must be served with a </w:t>
      </w:r>
      <w:r>
        <w:rPr>
          <w:rFonts w:ascii="Arial" w:hAnsi="Arial" w:cs="Arial"/>
          <w:sz w:val="22"/>
          <w:szCs w:val="22"/>
        </w:rPr>
        <w:t>copy of this order.</w:t>
      </w:r>
    </w:p>
    <w:p w14:paraId="24ACF3D4" w14:textId="588D6CFE" w:rsidR="00CD08F7" w:rsidRDefault="00CD08F7" w:rsidP="00CD08F7">
      <w:p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res</w:t>
      </w:r>
      <w:r w:rsidR="0075569A">
        <w:rPr>
          <w:rFonts w:ascii="Arial" w:hAnsi="Arial" w:cs="Arial"/>
          <w:b/>
          <w:bCs/>
          <w:sz w:val="22"/>
          <w:szCs w:val="22"/>
        </w:rPr>
        <w:t>trained person</w:t>
      </w:r>
      <w:r>
        <w:rPr>
          <w:rFonts w:ascii="Arial" w:hAnsi="Arial" w:cs="Arial"/>
          <w:sz w:val="22"/>
          <w:szCs w:val="22"/>
        </w:rPr>
        <w:t xml:space="preserve"> shall make private </w:t>
      </w:r>
      <w:r w:rsidRPr="00104336">
        <w:rPr>
          <w:rFonts w:ascii="Arial" w:hAnsi="Arial" w:cs="Arial"/>
          <w:sz w:val="22"/>
          <w:szCs w:val="22"/>
        </w:rPr>
        <w:t>arrangeme</w:t>
      </w:r>
      <w:r>
        <w:rPr>
          <w:rFonts w:ascii="Arial" w:hAnsi="Arial" w:cs="Arial"/>
          <w:sz w:val="22"/>
          <w:szCs w:val="22"/>
        </w:rPr>
        <w:t xml:space="preserve">nts for service and have proof of service returned to this court. </w:t>
      </w:r>
    </w:p>
    <w:p w14:paraId="1A12DC7E" w14:textId="1C42D37E" w:rsidR="00BF2579" w:rsidRPr="00BF2579" w:rsidRDefault="00BF2579" w:rsidP="00E4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</w:t>
      </w:r>
      <w:r w:rsidR="0075569A">
        <w:rPr>
          <w:rFonts w:ascii="Arial" w:hAnsi="Arial" w:cs="Arial"/>
          <w:b/>
          <w:sz w:val="22"/>
          <w:szCs w:val="22"/>
        </w:rPr>
        <w:t>trained Person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You must have someone else, over the age of 18</w:t>
      </w:r>
      <w:r w:rsidR="00A53D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serve </w:t>
      </w:r>
      <w:proofErr w:type="gramStart"/>
      <w:r>
        <w:rPr>
          <w:rFonts w:ascii="Arial" w:hAnsi="Arial" w:cs="Arial"/>
          <w:sz w:val="22"/>
          <w:szCs w:val="22"/>
        </w:rPr>
        <w:t>p</w:t>
      </w:r>
      <w:r w:rsidR="00071532">
        <w:rPr>
          <w:rFonts w:ascii="Arial" w:hAnsi="Arial" w:cs="Arial"/>
          <w:sz w:val="22"/>
          <w:szCs w:val="22"/>
        </w:rPr>
        <w:t>rotected</w:t>
      </w:r>
      <w:proofErr w:type="gramEnd"/>
      <w:r w:rsidR="00071532">
        <w:rPr>
          <w:rFonts w:ascii="Arial" w:hAnsi="Arial" w:cs="Arial"/>
          <w:sz w:val="22"/>
          <w:szCs w:val="22"/>
        </w:rPr>
        <w:t xml:space="preserve"> person</w:t>
      </w:r>
      <w:r>
        <w:rPr>
          <w:rFonts w:ascii="Arial" w:hAnsi="Arial" w:cs="Arial"/>
          <w:sz w:val="22"/>
          <w:szCs w:val="22"/>
        </w:rPr>
        <w:t xml:space="preserve"> with a copy of this order not less than 5 days before the hearing. You must also file a Proof of Service with the court clerk at or before the hearing. </w:t>
      </w:r>
    </w:p>
    <w:p w14:paraId="60A18465" w14:textId="4E9D284C" w:rsidR="00CD08F7" w:rsidRPr="009F29BD" w:rsidRDefault="00CD08F7" w:rsidP="00CD08F7">
      <w:pPr>
        <w:pStyle w:val="PO75indenthanging"/>
        <w:tabs>
          <w:tab w:val="left" w:pos="9360"/>
        </w:tabs>
        <w:spacing w:after="0"/>
        <w:rPr>
          <w:rFonts w:eastAsia="Calibri"/>
        </w:rPr>
      </w:pPr>
      <w:bookmarkStart w:id="0" w:name="_Hlk102064118"/>
      <w:r w:rsidRPr="009F29BD">
        <w:t>[  ]</w:t>
      </w:r>
      <w:r w:rsidRPr="009F29BD">
        <w:tab/>
      </w:r>
      <w:r w:rsidRPr="009F29BD">
        <w:rPr>
          <w:b/>
          <w:bCs/>
        </w:rPr>
        <w:t>Alternative Service Allowed</w:t>
      </w:r>
      <w:r w:rsidRPr="009F29BD">
        <w:t>. The court authorizes alternative service by separate order (</w:t>
      </w:r>
      <w:r w:rsidRPr="00DC218E">
        <w:rPr>
          <w:i/>
          <w:iCs/>
        </w:rPr>
        <w:t>specify</w:t>
      </w:r>
      <w:r w:rsidRPr="009F29BD">
        <w:t>):</w:t>
      </w:r>
      <w:r w:rsidRPr="00DC218E">
        <w:rPr>
          <w:u w:val="single"/>
        </w:rPr>
        <w:tab/>
      </w:r>
    </w:p>
    <w:bookmarkEnd w:id="0"/>
    <w:p w14:paraId="2F61007E" w14:textId="77777777" w:rsidR="00CD08F7" w:rsidRDefault="00CD08F7" w:rsidP="00CD08F7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9C00DF"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 w:rsidRPr="00F035C1">
        <w:rPr>
          <w:rFonts w:ascii="Arial" w:hAnsi="Arial" w:cs="Arial"/>
          <w:b/>
          <w:sz w:val="22"/>
          <w:szCs w:val="22"/>
        </w:rPr>
        <w:t>Not required.</w:t>
      </w:r>
      <w:r>
        <w:rPr>
          <w:rFonts w:ascii="Arial" w:hAnsi="Arial" w:cs="Arial"/>
          <w:bCs/>
          <w:sz w:val="22"/>
          <w:szCs w:val="22"/>
        </w:rPr>
        <w:t xml:space="preserve"> See section 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above for appearances.</w:t>
      </w:r>
    </w:p>
    <w:p w14:paraId="375CA788" w14:textId="331D3D82" w:rsidR="00CD08F7" w:rsidRDefault="00CD08F7" w:rsidP="005468AF">
      <w:pPr>
        <w:spacing w:before="120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071532">
        <w:rPr>
          <w:rFonts w:ascii="Arial" w:hAnsi="Arial" w:cs="Arial"/>
          <w:bCs/>
          <w:sz w:val="22"/>
          <w:szCs w:val="22"/>
        </w:rPr>
        <w:t>protected person</w:t>
      </w:r>
      <w:r>
        <w:rPr>
          <w:rFonts w:ascii="Arial" w:hAnsi="Arial" w:cs="Arial"/>
          <w:bCs/>
          <w:sz w:val="22"/>
          <w:szCs w:val="22"/>
        </w:rPr>
        <w:t xml:space="preserve"> appeared at the hearing where this order was issued </w:t>
      </w:r>
      <w:r w:rsidR="005468AF">
        <w:rPr>
          <w:rFonts w:ascii="Arial" w:hAnsi="Arial" w:cs="Arial"/>
          <w:bCs/>
          <w:sz w:val="22"/>
          <w:szCs w:val="22"/>
        </w:rPr>
        <w:t xml:space="preserve">and received </w:t>
      </w:r>
      <w:r w:rsidRPr="00AE66A4">
        <w:rPr>
          <w:rFonts w:ascii="Arial" w:hAnsi="Arial" w:cs="Arial"/>
          <w:bCs/>
          <w:sz w:val="22"/>
          <w:szCs w:val="22"/>
        </w:rPr>
        <w:t>a copy.</w:t>
      </w:r>
    </w:p>
    <w:p w14:paraId="580AF575" w14:textId="7E1FD721" w:rsidR="0075569A" w:rsidRPr="00833893" w:rsidRDefault="0075569A" w:rsidP="00290FC5">
      <w:pPr>
        <w:overflowPunct/>
        <w:autoSpaceDE/>
        <w:autoSpaceDN/>
        <w:adjustRightInd/>
        <w:spacing w:before="120"/>
        <w:ind w:left="720" w:hanging="720"/>
        <w:textAlignment w:val="auto"/>
        <w:outlineLvl w:val="1"/>
        <w:rPr>
          <w:rFonts w:ascii="Arial" w:hAnsi="Arial" w:cs="Arial"/>
          <w:sz w:val="22"/>
          <w:szCs w:val="22"/>
        </w:rPr>
      </w:pPr>
      <w:r w:rsidRPr="0030528C">
        <w:rPr>
          <w:rFonts w:ascii="Arial" w:hAnsi="Arial" w:cs="Arial"/>
          <w:b/>
          <w:bCs/>
          <w:sz w:val="22"/>
          <w:szCs w:val="22"/>
        </w:rPr>
        <w:t>5.</w:t>
      </w:r>
      <w:r w:rsidR="00055163">
        <w:rPr>
          <w:rFonts w:ascii="Arial" w:hAnsi="Arial" w:cs="Arial"/>
          <w:bCs/>
          <w:sz w:val="22"/>
          <w:szCs w:val="22"/>
        </w:rPr>
        <w:tab/>
      </w:r>
      <w:r w:rsidRPr="00E43606">
        <w:rPr>
          <w:rFonts w:ascii="Arial" w:hAnsi="Arial" w:cs="Arial"/>
          <w:b/>
          <w:bCs/>
          <w:sz w:val="22"/>
          <w:szCs w:val="22"/>
        </w:rPr>
        <w:t>How to Attend Next Hearing</w:t>
      </w:r>
    </w:p>
    <w:p w14:paraId="2C470DDB" w14:textId="77777777" w:rsidR="00C0496F" w:rsidRDefault="00C0496F" w:rsidP="0030528C">
      <w:pPr>
        <w:pStyle w:val="POnoindent"/>
        <w:keepNext/>
        <w:spacing w:after="0"/>
        <w:rPr>
          <w:i/>
          <w:iCs/>
        </w:rPr>
      </w:pPr>
      <w:r>
        <w:t>The hearing scheduled on page 1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11"/>
        <w:gridCol w:w="864"/>
        <w:gridCol w:w="3825"/>
      </w:tblGrid>
      <w:tr w:rsidR="00C0496F" w14:paraId="7144D914" w14:textId="77777777" w:rsidTr="00C64B58">
        <w:tc>
          <w:tcPr>
            <w:tcW w:w="1150" w:type="dxa"/>
          </w:tcPr>
          <w:p w14:paraId="3CEB5051" w14:textId="77777777" w:rsidR="00C0496F" w:rsidRDefault="00C0496F" w:rsidP="00C64B58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8BECEE7" wp14:editId="79FB05CC">
                  <wp:extent cx="482805" cy="502920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2A751163" w14:textId="77777777" w:rsidR="00C0496F" w:rsidRPr="002A173A" w:rsidRDefault="00C0496F" w:rsidP="00C64B58">
            <w:pPr>
              <w:pStyle w:val="POnoindent"/>
            </w:pPr>
            <w:r w:rsidRPr="002A173A">
              <w:rPr>
                <w:b/>
                <w:bCs/>
              </w:rPr>
              <w:t>In person</w:t>
            </w:r>
            <w:r w:rsidRPr="002A173A">
              <w:t xml:space="preserve"> </w:t>
            </w:r>
          </w:p>
          <w:p w14:paraId="6828D443" w14:textId="77777777" w:rsidR="00C0496F" w:rsidRPr="002A173A" w:rsidRDefault="00C0496F" w:rsidP="00C64B58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</w:pPr>
            <w:r w:rsidRPr="002A173A">
              <w:t>Judge/Commissioner:</w:t>
            </w:r>
            <w:r w:rsidRPr="002A173A">
              <w:rPr>
                <w:u w:val="single"/>
              </w:rPr>
              <w:tab/>
            </w:r>
            <w:r w:rsidRPr="002A173A">
              <w:tab/>
              <w:t>Courtroom:</w:t>
            </w:r>
            <w:r w:rsidRPr="002A173A">
              <w:rPr>
                <w:u w:val="single"/>
              </w:rPr>
              <w:tab/>
            </w:r>
          </w:p>
          <w:p w14:paraId="0163EB41" w14:textId="77777777" w:rsidR="00C0496F" w:rsidRPr="002A173A" w:rsidRDefault="00C0496F" w:rsidP="00C64B58">
            <w:pPr>
              <w:pStyle w:val="POnoindent"/>
              <w:tabs>
                <w:tab w:val="left" w:pos="7921"/>
              </w:tabs>
            </w:pPr>
            <w:r w:rsidRPr="002A173A">
              <w:t>Address:</w:t>
            </w:r>
            <w:r w:rsidRPr="002A173A">
              <w:rPr>
                <w:u w:val="single"/>
              </w:rPr>
              <w:tab/>
            </w:r>
          </w:p>
        </w:tc>
      </w:tr>
      <w:tr w:rsidR="00C0496F" w14:paraId="34A245E4" w14:textId="77777777" w:rsidTr="00C64B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7948C482" w14:textId="77777777" w:rsidR="00C0496F" w:rsidRDefault="00C0496F" w:rsidP="00C64B58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3AA838" wp14:editId="419B32DC">
                  <wp:extent cx="577311" cy="457200"/>
                  <wp:effectExtent l="0" t="0" r="0" b="0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7A79859" w14:textId="77777777" w:rsidR="00C0496F" w:rsidRPr="002A173A" w:rsidRDefault="00C0496F" w:rsidP="00C64B58">
            <w:pPr>
              <w:pStyle w:val="POnoindent"/>
              <w:tabs>
                <w:tab w:val="left" w:pos="3427"/>
                <w:tab w:val="left" w:pos="7920"/>
              </w:tabs>
            </w:pPr>
            <w:r w:rsidRPr="002A173A">
              <w:rPr>
                <w:b/>
                <w:bCs/>
              </w:rPr>
              <w:t xml:space="preserve">Online </w:t>
            </w:r>
            <w:r w:rsidRPr="002A173A">
              <w:t>(</w:t>
            </w:r>
            <w:r w:rsidRPr="002A173A">
              <w:rPr>
                <w:i/>
                <w:iCs/>
              </w:rPr>
              <w:t>audio and video</w:t>
            </w:r>
            <w:r w:rsidRPr="002A173A">
              <w:t>)</w:t>
            </w:r>
            <w:r w:rsidRPr="002A173A">
              <w:tab/>
              <w:t>App:</w:t>
            </w:r>
            <w:r w:rsidRPr="002A173A">
              <w:rPr>
                <w:u w:val="single"/>
              </w:rPr>
              <w:tab/>
            </w:r>
          </w:p>
          <w:p w14:paraId="738C888A" w14:textId="77777777" w:rsidR="00C0496F" w:rsidRPr="002A173A" w:rsidRDefault="00C0496F" w:rsidP="00C64B58">
            <w:pPr>
              <w:pStyle w:val="POnoindent"/>
              <w:tabs>
                <w:tab w:val="left" w:pos="7920"/>
              </w:tabs>
              <w:rPr>
                <w:u w:val="single"/>
              </w:rPr>
            </w:pPr>
            <w:r w:rsidRPr="002A173A">
              <w:t>[  ] Log-in:</w:t>
            </w:r>
            <w:r w:rsidRPr="002A173A">
              <w:rPr>
                <w:u w:val="single"/>
              </w:rPr>
              <w:tab/>
            </w:r>
          </w:p>
          <w:p w14:paraId="715EF9DC" w14:textId="77777777" w:rsidR="00C0496F" w:rsidRPr="002A173A" w:rsidRDefault="00C0496F" w:rsidP="00C64B58">
            <w:pPr>
              <w:pStyle w:val="POnoindent"/>
              <w:tabs>
                <w:tab w:val="left" w:pos="7875"/>
              </w:tabs>
            </w:pPr>
            <w:r w:rsidRPr="002A173A">
              <w:t>[  ] You must get permission from the court at least 3 court days before your hearing to participate online (audio and video). To make this request, contact:</w:t>
            </w:r>
          </w:p>
          <w:p w14:paraId="63A46422" w14:textId="77777777" w:rsidR="00C0496F" w:rsidRPr="00616A50" w:rsidDel="00B721FA" w:rsidRDefault="00C0496F" w:rsidP="00C64B58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2A173A">
              <w:rPr>
                <w:bCs/>
                <w:u w:val="single"/>
              </w:rPr>
              <w:tab/>
            </w:r>
          </w:p>
        </w:tc>
      </w:tr>
      <w:tr w:rsidR="00C0496F" w14:paraId="3F29F63A" w14:textId="77777777" w:rsidTr="0030528C">
        <w:trPr>
          <w:trHeight w:val="1493"/>
        </w:trPr>
        <w:tc>
          <w:tcPr>
            <w:tcW w:w="1150" w:type="dxa"/>
          </w:tcPr>
          <w:p w14:paraId="506017FD" w14:textId="77777777" w:rsidR="00C0496F" w:rsidRDefault="00C0496F" w:rsidP="00C64B58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F3FCDE" wp14:editId="2D3D52E8">
                  <wp:extent cx="457200" cy="457200"/>
                  <wp:effectExtent l="0" t="0" r="0" b="0"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11852EC9" w14:textId="77777777" w:rsidR="00C0496F" w:rsidRPr="002A173A" w:rsidRDefault="00C0496F" w:rsidP="00C64B58">
            <w:pPr>
              <w:pStyle w:val="POnoindent"/>
              <w:tabs>
                <w:tab w:val="left" w:pos="3421"/>
                <w:tab w:val="left" w:pos="7920"/>
              </w:tabs>
              <w:rPr>
                <w:u w:val="single"/>
              </w:rPr>
            </w:pPr>
            <w:r w:rsidRPr="002A173A">
              <w:rPr>
                <w:b/>
                <w:bCs/>
              </w:rPr>
              <w:t xml:space="preserve">By Phone </w:t>
            </w:r>
            <w:r w:rsidRPr="002A173A">
              <w:t>(</w:t>
            </w:r>
            <w:r w:rsidRPr="002A173A">
              <w:rPr>
                <w:i/>
                <w:iCs/>
              </w:rPr>
              <w:t xml:space="preserve">audio </w:t>
            </w:r>
            <w:proofErr w:type="gramStart"/>
            <w:r w:rsidRPr="002A173A">
              <w:rPr>
                <w:i/>
                <w:iCs/>
              </w:rPr>
              <w:t>only</w:t>
            </w:r>
            <w:r w:rsidRPr="002A173A">
              <w:t>)</w:t>
            </w:r>
            <w:r w:rsidRPr="002A173A">
              <w:tab/>
              <w:t xml:space="preserve">[  </w:t>
            </w:r>
            <w:proofErr w:type="gramEnd"/>
            <w:r w:rsidRPr="002A173A">
              <w:t>] Call-in number</w:t>
            </w:r>
            <w:r w:rsidRPr="002A173A">
              <w:rPr>
                <w:u w:val="single"/>
              </w:rPr>
              <w:tab/>
            </w:r>
          </w:p>
          <w:p w14:paraId="3D60A1BF" w14:textId="77777777" w:rsidR="00C0496F" w:rsidRPr="00616A50" w:rsidRDefault="00C0496F" w:rsidP="00C64B58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2A173A">
              <w:t>[  ] You must get permission from the court at least 3 court days before your hearing to participate by phone only (without video). To make this request, contact:</w:t>
            </w:r>
            <w:r w:rsidRPr="002A173A">
              <w:br/>
            </w:r>
            <w:r w:rsidRPr="002A173A">
              <w:rPr>
                <w:bCs/>
                <w:u w:val="single"/>
              </w:rPr>
              <w:tab/>
            </w:r>
          </w:p>
        </w:tc>
      </w:tr>
      <w:tr w:rsidR="00C0496F" w14:paraId="3D7380B3" w14:textId="77777777" w:rsidTr="00C64B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47D7E0BE" w14:textId="77777777" w:rsidR="00C0496F" w:rsidRDefault="00C0496F" w:rsidP="00C64B58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71961C2" wp14:editId="064935A2">
                  <wp:extent cx="506295" cy="502920"/>
                  <wp:effectExtent l="0" t="0" r="8255" b="0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FD5B26A" w14:textId="77777777" w:rsidR="00C0496F" w:rsidRPr="002A173A" w:rsidRDefault="00C0496F" w:rsidP="00C64B58">
            <w:pPr>
              <w:pStyle w:val="POnoindent"/>
              <w:rPr>
                <w:b/>
              </w:rPr>
            </w:pPr>
            <w:r w:rsidRPr="002A173A">
              <w:rPr>
                <w:b/>
              </w:rPr>
              <w:t xml:space="preserve">If you have trouble connecting online or by phone </w:t>
            </w:r>
            <w:r w:rsidRPr="002A173A">
              <w:rPr>
                <w:bCs/>
              </w:rPr>
              <w:t>(instructions, who to contact)</w:t>
            </w:r>
          </w:p>
          <w:p w14:paraId="042A5ABD" w14:textId="77777777" w:rsidR="00C0496F" w:rsidRPr="002A173A" w:rsidRDefault="00C0496F" w:rsidP="00C64B58">
            <w:pPr>
              <w:pStyle w:val="POnoindent"/>
              <w:tabs>
                <w:tab w:val="left" w:pos="7875"/>
              </w:tabs>
              <w:rPr>
                <w:bCs/>
                <w:u w:val="single"/>
              </w:rPr>
            </w:pPr>
            <w:r w:rsidRPr="002A173A">
              <w:rPr>
                <w:bCs/>
                <w:u w:val="single"/>
              </w:rPr>
              <w:tab/>
            </w:r>
          </w:p>
          <w:p w14:paraId="67E7AA0C" w14:textId="77777777" w:rsidR="00C0496F" w:rsidRPr="0030528C" w:rsidRDefault="00C0496F" w:rsidP="00C64B58">
            <w:pPr>
              <w:pStyle w:val="POnoindent"/>
              <w:tabs>
                <w:tab w:val="left" w:pos="7877"/>
              </w:tabs>
              <w:rPr>
                <w:b/>
                <w:bCs/>
                <w:sz w:val="21"/>
                <w:szCs w:val="21"/>
              </w:rPr>
            </w:pPr>
            <w:r w:rsidRPr="002A173A">
              <w:rPr>
                <w:bCs/>
                <w:u w:val="single"/>
              </w:rPr>
              <w:lastRenderedPageBreak/>
              <w:tab/>
            </w:r>
          </w:p>
        </w:tc>
      </w:tr>
      <w:tr w:rsidR="00C0496F" w14:paraId="27155872" w14:textId="77777777" w:rsidTr="00C64B58">
        <w:tc>
          <w:tcPr>
            <w:tcW w:w="1150" w:type="dxa"/>
          </w:tcPr>
          <w:p w14:paraId="131D33EA" w14:textId="77777777" w:rsidR="00C0496F" w:rsidRDefault="00C0496F" w:rsidP="00C64B58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357CED" wp14:editId="59E37696">
                  <wp:extent cx="593426" cy="548640"/>
                  <wp:effectExtent l="0" t="0" r="0" b="381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25D4629" w14:textId="672A103E" w:rsidR="00C0496F" w:rsidRPr="002A173A" w:rsidRDefault="00C0496F" w:rsidP="00C64B58">
            <w:pPr>
              <w:pStyle w:val="POnoindent"/>
              <w:tabs>
                <w:tab w:val="left" w:pos="3241"/>
              </w:tabs>
              <w:rPr>
                <w:bCs/>
                <w:u w:val="single"/>
              </w:rPr>
            </w:pPr>
            <w:r w:rsidRPr="002A173A">
              <w:rPr>
                <w:b/>
                <w:bCs/>
              </w:rPr>
              <w:t>Ask for an interpreter, if needed</w:t>
            </w:r>
            <w:r w:rsidR="002A173A">
              <w:rPr>
                <w:b/>
                <w:bCs/>
              </w:rPr>
              <w:t xml:space="preserve">. </w:t>
            </w:r>
            <w:r w:rsidRPr="002A173A">
              <w:rPr>
                <w:bCs/>
              </w:rPr>
              <w:t>Contact:</w:t>
            </w:r>
            <w:r w:rsidRPr="002A173A">
              <w:rPr>
                <w:bCs/>
                <w:u w:val="single"/>
              </w:rPr>
              <w:tab/>
            </w:r>
          </w:p>
          <w:p w14:paraId="2F598EE7" w14:textId="77777777" w:rsidR="00C0496F" w:rsidRPr="00141EA2" w:rsidRDefault="00C0496F" w:rsidP="00C64B58">
            <w:pPr>
              <w:pStyle w:val="POnoindent"/>
              <w:tabs>
                <w:tab w:val="left" w:pos="3241"/>
              </w:tabs>
              <w:rPr>
                <w:b/>
                <w:bCs/>
                <w:sz w:val="21"/>
                <w:szCs w:val="21"/>
              </w:rPr>
            </w:pPr>
            <w:r w:rsidRPr="002A173A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19CBFF00" w14:textId="77777777" w:rsidR="00C0496F" w:rsidRDefault="00C0496F" w:rsidP="00C64B58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08217" wp14:editId="0B4BA240">
                  <wp:extent cx="393192" cy="589788"/>
                  <wp:effectExtent l="0" t="0" r="6985" b="127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20256A0" w14:textId="77777777" w:rsidR="00C0496F" w:rsidRPr="002A173A" w:rsidRDefault="00C0496F" w:rsidP="00C64B58">
            <w:pPr>
              <w:pStyle w:val="POnoindent"/>
              <w:tabs>
                <w:tab w:val="left" w:pos="3586"/>
              </w:tabs>
              <w:rPr>
                <w:bCs/>
                <w:u w:val="single"/>
              </w:rPr>
            </w:pPr>
            <w:r w:rsidRPr="002A173A">
              <w:rPr>
                <w:b/>
                <w:bCs/>
              </w:rPr>
              <w:t xml:space="preserve">Ask for disability accommodation, if needed. </w:t>
            </w:r>
            <w:r w:rsidRPr="002A173A">
              <w:rPr>
                <w:bCs/>
              </w:rPr>
              <w:t>Contact:</w:t>
            </w:r>
            <w:r w:rsidRPr="002A173A">
              <w:rPr>
                <w:bCs/>
                <w:u w:val="single"/>
              </w:rPr>
              <w:tab/>
            </w:r>
          </w:p>
          <w:p w14:paraId="6EC217BB" w14:textId="77777777" w:rsidR="00C0496F" w:rsidRPr="00141EA2" w:rsidRDefault="00C0496F" w:rsidP="00C64B58">
            <w:pPr>
              <w:pStyle w:val="POnoindent"/>
              <w:tabs>
                <w:tab w:val="left" w:pos="3586"/>
              </w:tabs>
              <w:rPr>
                <w:b/>
                <w:bCs/>
                <w:sz w:val="21"/>
                <w:szCs w:val="21"/>
              </w:rPr>
            </w:pPr>
            <w:r w:rsidRPr="002A173A">
              <w:rPr>
                <w:u w:val="single"/>
              </w:rPr>
              <w:tab/>
            </w:r>
          </w:p>
        </w:tc>
      </w:tr>
      <w:tr w:rsidR="00C0496F" w:rsidRPr="00616A50" w14:paraId="7E8C8CE8" w14:textId="77777777" w:rsidTr="00C64B58">
        <w:tc>
          <w:tcPr>
            <w:tcW w:w="9350" w:type="dxa"/>
            <w:gridSpan w:val="4"/>
          </w:tcPr>
          <w:p w14:paraId="78EEDC76" w14:textId="77777777" w:rsidR="00C0496F" w:rsidRPr="0030528C" w:rsidRDefault="00C0496F" w:rsidP="00C64B58">
            <w:pPr>
              <w:pStyle w:val="POnoindent"/>
              <w:rPr>
                <w:b/>
              </w:rPr>
            </w:pPr>
            <w:r w:rsidRPr="0030528C">
              <w:t>Ask for an interpreter or accommodation as soon as you can. Do not wait until the hearing!</w:t>
            </w:r>
          </w:p>
        </w:tc>
      </w:tr>
    </w:tbl>
    <w:p w14:paraId="71068BCD" w14:textId="268CFFEE" w:rsidR="004B0CE8" w:rsidRDefault="004B0CE8" w:rsidP="00E43606">
      <w:pPr>
        <w:pStyle w:val="BodyText"/>
      </w:pPr>
      <w:r>
        <w:t>P</w:t>
      </w:r>
      <w:r w:rsidR="00071532">
        <w:t>rotected Person</w:t>
      </w:r>
      <w:r>
        <w:t>: If you do not appear at the hearing, the court may enter an order without hearing from you. For information about how to respond, see the box below.</w:t>
      </w:r>
    </w:p>
    <w:p w14:paraId="3D20D05B" w14:textId="77777777" w:rsidR="004B0CE8" w:rsidRDefault="004B0CE8" w:rsidP="0030528C">
      <w:pPr>
        <w:tabs>
          <w:tab w:val="left" w:pos="3240"/>
          <w:tab w:val="left" w:pos="4320"/>
          <w:tab w:val="left" w:pos="927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E60FD2" w14:textId="77777777" w:rsidR="004B0CE8" w:rsidRDefault="004B0CE8" w:rsidP="0030528C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Judge or Commissioner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3BE0F1C" w14:textId="77777777" w:rsidR="002A173A" w:rsidRDefault="007551F7" w:rsidP="0030528C">
      <w:pPr>
        <w:tabs>
          <w:tab w:val="left" w:pos="4320"/>
          <w:tab w:val="left" w:pos="9270"/>
        </w:tabs>
        <w:spacing w:before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A4E9D32" w14:textId="3DF6BDDC" w:rsidR="007551F7" w:rsidRDefault="002A173A" w:rsidP="0030528C">
      <w:pPr>
        <w:tabs>
          <w:tab w:val="left" w:pos="4320"/>
          <w:tab w:val="left" w:pos="927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551F7">
        <w:rPr>
          <w:rFonts w:ascii="Arial" w:hAnsi="Arial" w:cs="Arial"/>
          <w:sz w:val="22"/>
          <w:szCs w:val="22"/>
          <w:u w:val="single"/>
        </w:rPr>
        <w:tab/>
      </w:r>
    </w:p>
    <w:p w14:paraId="64F16400" w14:textId="77777777" w:rsidR="007551F7" w:rsidRPr="00BF2579" w:rsidRDefault="007551F7" w:rsidP="0030528C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Print Judge or Commissioner Name</w:t>
      </w:r>
    </w:p>
    <w:p w14:paraId="1B962FDD" w14:textId="77777777" w:rsidR="004B0CE8" w:rsidRDefault="004B0CE8" w:rsidP="004B0CE8">
      <w:pPr>
        <w:tabs>
          <w:tab w:val="left" w:pos="3600"/>
        </w:tabs>
        <w:rPr>
          <w:rFonts w:ascii="Arial" w:hAnsi="Arial" w:cs="Arial"/>
          <w:i/>
          <w:sz w:val="22"/>
          <w:szCs w:val="22"/>
        </w:rPr>
      </w:pPr>
    </w:p>
    <w:tbl>
      <w:tblPr>
        <w:tblW w:w="80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2"/>
      </w:tblGrid>
      <w:tr w:rsidR="004B0CE8" w14:paraId="56154D18" w14:textId="77777777" w:rsidTr="00584181">
        <w:trPr>
          <w:jc w:val="center"/>
        </w:trPr>
        <w:tc>
          <w:tcPr>
            <w:tcW w:w="8042" w:type="dxa"/>
            <w:shd w:val="clear" w:color="auto" w:fill="auto"/>
          </w:tcPr>
          <w:p w14:paraId="6BB6FF48" w14:textId="4B369E71" w:rsidR="004B0CE8" w:rsidRPr="0030528C" w:rsidRDefault="004B0CE8" w:rsidP="00584181">
            <w:pPr>
              <w:tabs>
                <w:tab w:val="right" w:pos="9360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30528C">
              <w:rPr>
                <w:rFonts w:ascii="Arial" w:hAnsi="Arial" w:cs="Arial"/>
                <w:b/>
                <w:sz w:val="22"/>
                <w:szCs w:val="22"/>
              </w:rPr>
              <w:t>To the Petitioner</w:t>
            </w:r>
            <w:r w:rsidRPr="0030528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6C70BA" w14:textId="09692574" w:rsidR="004B0CE8" w:rsidRPr="00055163" w:rsidRDefault="004B0CE8" w:rsidP="00584181">
            <w:pPr>
              <w:pStyle w:val="WABody38flush"/>
              <w:spacing w:before="40"/>
              <w:ind w:left="0"/>
              <w:rPr>
                <w:szCs w:val="22"/>
              </w:rPr>
            </w:pPr>
            <w:r w:rsidRPr="00055163">
              <w:rPr>
                <w:szCs w:val="22"/>
              </w:rPr>
              <w:t xml:space="preserve">If you do not agree with the requests in the motion, file a statement (using form </w:t>
            </w:r>
            <w:r w:rsidR="00B4094E" w:rsidRPr="00055163">
              <w:rPr>
                <w:szCs w:val="22"/>
              </w:rPr>
              <w:t xml:space="preserve">PO </w:t>
            </w:r>
            <w:r w:rsidR="007551F7" w:rsidRPr="00055163">
              <w:rPr>
                <w:szCs w:val="22"/>
              </w:rPr>
              <w:t>018</w:t>
            </w:r>
            <w:r w:rsidRPr="00055163">
              <w:rPr>
                <w:szCs w:val="22"/>
              </w:rPr>
              <w:t xml:space="preserve"> </w:t>
            </w:r>
            <w:r w:rsidRPr="0030528C">
              <w:rPr>
                <w:i/>
                <w:szCs w:val="22"/>
              </w:rPr>
              <w:t>Declaration</w:t>
            </w:r>
            <w:r w:rsidRPr="00055163">
              <w:rPr>
                <w:szCs w:val="22"/>
              </w:rPr>
              <w:t>) explaining why the court should not approve those requests. You may file other written proof supporting your side.</w:t>
            </w:r>
          </w:p>
          <w:p w14:paraId="692D8E46" w14:textId="77777777" w:rsidR="004B0CE8" w:rsidRPr="0030528C" w:rsidRDefault="004B0CE8" w:rsidP="00584181">
            <w:pPr>
              <w:pStyle w:val="WABody38flush"/>
              <w:spacing w:before="0"/>
              <w:ind w:left="0"/>
              <w:rPr>
                <w:szCs w:val="22"/>
              </w:rPr>
            </w:pPr>
          </w:p>
          <w:p w14:paraId="13B7F331" w14:textId="77777777" w:rsidR="004B0CE8" w:rsidRPr="0030528C" w:rsidRDefault="004B0CE8" w:rsidP="00584181">
            <w:pPr>
              <w:pStyle w:val="WABody38flush"/>
              <w:spacing w:before="0"/>
              <w:ind w:left="0"/>
              <w:rPr>
                <w:b/>
                <w:szCs w:val="22"/>
              </w:rPr>
            </w:pPr>
            <w:r w:rsidRPr="0030528C">
              <w:rPr>
                <w:b/>
                <w:szCs w:val="22"/>
              </w:rPr>
              <w:t>To both parties:</w:t>
            </w:r>
          </w:p>
          <w:p w14:paraId="12F95786" w14:textId="0A7C93AB" w:rsidR="004B0CE8" w:rsidRPr="00252237" w:rsidRDefault="004B0CE8" w:rsidP="00584181">
            <w:pPr>
              <w:pStyle w:val="WABody38flush"/>
              <w:ind w:left="0"/>
              <w:rPr>
                <w:szCs w:val="22"/>
              </w:rPr>
            </w:pPr>
            <w:r w:rsidRPr="00252237">
              <w:rPr>
                <w:b/>
                <w:i/>
                <w:szCs w:val="22"/>
              </w:rPr>
              <w:t>Deadline!</w:t>
            </w:r>
            <w:r w:rsidRPr="00252237">
              <w:rPr>
                <w:szCs w:val="22"/>
              </w:rPr>
              <w:t xml:space="preserve"> </w:t>
            </w:r>
            <w:r w:rsidRPr="00AD1A00">
              <w:rPr>
                <w:szCs w:val="22"/>
              </w:rPr>
              <w:t xml:space="preserve">Your papers must be filed and served by the deadline in your county’s Local Court Rules or by the State Court Rules if there is no local rule. </w:t>
            </w:r>
            <w:r w:rsidRPr="0030528C">
              <w:rPr>
                <w:szCs w:val="22"/>
              </w:rPr>
              <w:t xml:space="preserve">Court Rules and forms are online at </w:t>
            </w:r>
            <w:hyperlink r:id="rId13" w:history="1">
              <w:r w:rsidRPr="00252237">
                <w:rPr>
                  <w:rStyle w:val="Hyperlink"/>
                  <w:rFonts w:cs="Arial"/>
                  <w:szCs w:val="22"/>
                </w:rPr>
                <w:t>www.courts.wa.gov</w:t>
              </w:r>
            </w:hyperlink>
            <w:r w:rsidRPr="00252237">
              <w:rPr>
                <w:szCs w:val="22"/>
              </w:rPr>
              <w:t>.</w:t>
            </w:r>
          </w:p>
          <w:p w14:paraId="029F766B" w14:textId="77777777" w:rsidR="004B0CE8" w:rsidRPr="00AD1A00" w:rsidRDefault="004B0CE8" w:rsidP="00584181">
            <w:pPr>
              <w:pStyle w:val="WABody38flush"/>
              <w:spacing w:before="80"/>
              <w:ind w:left="0"/>
              <w:rPr>
                <w:i/>
                <w:szCs w:val="22"/>
              </w:rPr>
            </w:pPr>
            <w:r w:rsidRPr="00AD1A00">
              <w:rPr>
                <w:szCs w:val="22"/>
              </w:rPr>
              <w:t xml:space="preserve">If you want the court to consider your side, you </w:t>
            </w:r>
            <w:r w:rsidRPr="00AD1A00">
              <w:rPr>
                <w:b/>
                <w:szCs w:val="22"/>
              </w:rPr>
              <w:t>must</w:t>
            </w:r>
            <w:r w:rsidRPr="00AD1A00">
              <w:rPr>
                <w:szCs w:val="22"/>
              </w:rPr>
              <w:t>:</w:t>
            </w:r>
          </w:p>
          <w:p w14:paraId="3A8E85F8" w14:textId="77777777" w:rsidR="004B0CE8" w:rsidRPr="00055163" w:rsidRDefault="004B0CE8" w:rsidP="00584181">
            <w:pPr>
              <w:pStyle w:val="WABulletList"/>
              <w:numPr>
                <w:ilvl w:val="0"/>
                <w:numId w:val="3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0"/>
              </w:rPr>
            </w:pPr>
            <w:r w:rsidRPr="00055163">
              <w:rPr>
                <w:spacing w:val="0"/>
              </w:rPr>
              <w:t xml:space="preserve">File your original documents with the </w:t>
            </w:r>
            <w:r w:rsidR="00B4094E" w:rsidRPr="00055163">
              <w:rPr>
                <w:spacing w:val="0"/>
              </w:rPr>
              <w:t>court clerk</w:t>
            </w:r>
            <w:r w:rsidRPr="00055163">
              <w:rPr>
                <w:spacing w:val="0"/>
              </w:rPr>
              <w:t>; AND</w:t>
            </w:r>
          </w:p>
          <w:p w14:paraId="5256067F" w14:textId="77777777" w:rsidR="004B0CE8" w:rsidRPr="0030528C" w:rsidRDefault="004B0CE8" w:rsidP="00584181">
            <w:pPr>
              <w:pStyle w:val="WABulletList"/>
              <w:numPr>
                <w:ilvl w:val="0"/>
                <w:numId w:val="3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color w:val="000000"/>
                <w:spacing w:val="0"/>
              </w:rPr>
            </w:pPr>
            <w:r w:rsidRPr="00055163">
              <w:rPr>
                <w:spacing w:val="0"/>
              </w:rPr>
              <w:t xml:space="preserve">Have a copy of your papers served </w:t>
            </w:r>
            <w:proofErr w:type="gramStart"/>
            <w:r w:rsidRPr="00055163">
              <w:rPr>
                <w:spacing w:val="0"/>
              </w:rPr>
              <w:t>on</w:t>
            </w:r>
            <w:proofErr w:type="gramEnd"/>
            <w:r w:rsidRPr="00055163">
              <w:rPr>
                <w:spacing w:val="0"/>
              </w:rPr>
              <w:t xml:space="preserve"> all other parties or their lawyers; AND</w:t>
            </w:r>
          </w:p>
          <w:p w14:paraId="4944087C" w14:textId="6839CC81" w:rsidR="004B0CE8" w:rsidRPr="00055163" w:rsidRDefault="004B0CE8" w:rsidP="00584181">
            <w:pPr>
              <w:pStyle w:val="WABulletList"/>
              <w:numPr>
                <w:ilvl w:val="0"/>
                <w:numId w:val="3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0"/>
              </w:rPr>
            </w:pPr>
            <w:r w:rsidRPr="00055163">
              <w:rPr>
                <w:spacing w:val="0"/>
              </w:rPr>
              <w:t>Go to the hearing.</w:t>
            </w:r>
          </w:p>
          <w:p w14:paraId="5206486D" w14:textId="1BB073C9" w:rsidR="004B0CE8" w:rsidRPr="0030528C" w:rsidRDefault="006D17D0" w:rsidP="00584181">
            <w:pPr>
              <w:pStyle w:val="WAItem"/>
              <w:keepNext w:val="0"/>
              <w:numPr>
                <w:ilvl w:val="0"/>
                <w:numId w:val="0"/>
              </w:numPr>
              <w:tabs>
                <w:tab w:val="right" w:pos="9360"/>
              </w:tabs>
              <w:suppressAutoHyphens w:val="0"/>
              <w:spacing w:before="80"/>
              <w:rPr>
                <w:i/>
                <w:color w:val="000000"/>
                <w:sz w:val="22"/>
                <w:szCs w:val="22"/>
              </w:rPr>
            </w:pPr>
            <w:r w:rsidRPr="00055163">
              <w:rPr>
                <w:sz w:val="22"/>
                <w:szCs w:val="22"/>
              </w:rPr>
              <w:t>Check with the court, you may need to b</w:t>
            </w:r>
            <w:r w:rsidR="004B0CE8" w:rsidRPr="00055163">
              <w:rPr>
                <w:sz w:val="22"/>
                <w:szCs w:val="22"/>
              </w:rPr>
              <w:t xml:space="preserve">ring </w:t>
            </w:r>
            <w:r w:rsidRPr="00055163">
              <w:rPr>
                <w:sz w:val="22"/>
                <w:szCs w:val="22"/>
              </w:rPr>
              <w:t xml:space="preserve">a </w:t>
            </w:r>
            <w:r w:rsidR="004B0CE8" w:rsidRPr="00055163">
              <w:rPr>
                <w:sz w:val="22"/>
                <w:szCs w:val="22"/>
              </w:rPr>
              <w:t xml:space="preserve">proposed </w:t>
            </w:r>
            <w:proofErr w:type="gramStart"/>
            <w:r w:rsidR="004B0CE8" w:rsidRPr="00055163">
              <w:rPr>
                <w:sz w:val="22"/>
                <w:szCs w:val="22"/>
              </w:rPr>
              <w:t>orders</w:t>
            </w:r>
            <w:proofErr w:type="gramEnd"/>
            <w:r w:rsidR="004B0CE8" w:rsidRPr="00055163">
              <w:rPr>
                <w:sz w:val="22"/>
                <w:szCs w:val="22"/>
              </w:rPr>
              <w:t xml:space="preserve"> to the hearing.</w:t>
            </w:r>
          </w:p>
        </w:tc>
      </w:tr>
    </w:tbl>
    <w:p w14:paraId="0A3B8736" w14:textId="77777777" w:rsidR="004B0CE8" w:rsidRPr="00E43DCE" w:rsidRDefault="004B0CE8" w:rsidP="00416F3D">
      <w:pPr>
        <w:rPr>
          <w:rFonts w:ascii="Arial" w:hAnsi="Arial" w:cs="Arial"/>
          <w:sz w:val="22"/>
          <w:szCs w:val="22"/>
        </w:rPr>
      </w:pPr>
    </w:p>
    <w:sectPr w:rsidR="004B0CE8" w:rsidRPr="00E43DCE" w:rsidSect="00290FC5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A40D" w14:textId="77777777" w:rsidR="00C35464" w:rsidRDefault="00C35464" w:rsidP="00C00270">
      <w:r>
        <w:separator/>
      </w:r>
    </w:p>
  </w:endnote>
  <w:endnote w:type="continuationSeparator" w:id="0">
    <w:p w14:paraId="12D74C4F" w14:textId="77777777" w:rsidR="00C35464" w:rsidRDefault="00C35464" w:rsidP="00C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00270" w:rsidRPr="00055163" w14:paraId="12BE7B0B" w14:textId="77777777" w:rsidTr="00C64B58">
      <w:tc>
        <w:tcPr>
          <w:tcW w:w="3192" w:type="dxa"/>
          <w:shd w:val="clear" w:color="auto" w:fill="auto"/>
        </w:tcPr>
        <w:p w14:paraId="7D5CB406" w14:textId="4A9507BF" w:rsidR="00C00270" w:rsidRPr="00055163" w:rsidRDefault="00C00270" w:rsidP="00C00270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55163">
            <w:rPr>
              <w:rFonts w:ascii="Arial" w:hAnsi="Arial" w:cs="Arial"/>
              <w:sz w:val="18"/>
              <w:szCs w:val="18"/>
            </w:rPr>
            <w:t>RCW 7.105.500</w:t>
          </w:r>
        </w:p>
        <w:p w14:paraId="68734D87" w14:textId="77777777" w:rsidR="00C00270" w:rsidRPr="002A173A" w:rsidRDefault="00C00270" w:rsidP="00C00270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55163">
            <w:rPr>
              <w:rFonts w:ascii="Arial" w:hAnsi="Arial" w:cs="Arial"/>
              <w:sz w:val="18"/>
              <w:szCs w:val="18"/>
            </w:rPr>
            <w:t>Mandator</w:t>
          </w:r>
          <w:r w:rsidRPr="002A173A">
            <w:rPr>
              <w:rFonts w:ascii="Arial" w:hAnsi="Arial" w:cs="Arial"/>
              <w:sz w:val="18"/>
              <w:szCs w:val="18"/>
            </w:rPr>
            <w:t xml:space="preserve">y </w:t>
          </w:r>
          <w:r w:rsidRPr="002A173A">
            <w:rPr>
              <w:rFonts w:ascii="Arial" w:hAnsi="Arial" w:cs="Arial"/>
              <w:i/>
              <w:sz w:val="18"/>
              <w:szCs w:val="18"/>
            </w:rPr>
            <w:t>(01/2023)</w:t>
          </w:r>
        </w:p>
        <w:p w14:paraId="2A721DEB" w14:textId="098C327D" w:rsidR="00C00270" w:rsidRPr="00055163" w:rsidRDefault="00C00270" w:rsidP="002A173A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2A173A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230B44" w:rsidRPr="002A173A">
            <w:rPr>
              <w:rFonts w:ascii="Arial" w:hAnsi="Arial" w:cs="Arial"/>
              <w:b/>
              <w:sz w:val="18"/>
              <w:szCs w:val="18"/>
            </w:rPr>
            <w:t>064</w:t>
          </w:r>
        </w:p>
      </w:tc>
      <w:tc>
        <w:tcPr>
          <w:tcW w:w="3192" w:type="dxa"/>
          <w:shd w:val="clear" w:color="auto" w:fill="auto"/>
        </w:tcPr>
        <w:p w14:paraId="76F28D18" w14:textId="4B4AC9FD" w:rsidR="00C00270" w:rsidRPr="00055163" w:rsidRDefault="00C00270" w:rsidP="00C0027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55163">
            <w:rPr>
              <w:rFonts w:ascii="Arial" w:hAnsi="Arial" w:cs="Arial"/>
              <w:sz w:val="18"/>
              <w:szCs w:val="18"/>
            </w:rPr>
            <w:t xml:space="preserve">Finding of Adequate Cause and Order for Hearing on </w:t>
          </w:r>
          <w:r w:rsidR="002C2260" w:rsidRPr="00055163">
            <w:rPr>
              <w:rFonts w:ascii="Arial" w:hAnsi="Arial" w:cs="Arial"/>
              <w:sz w:val="18"/>
              <w:szCs w:val="18"/>
            </w:rPr>
            <w:t>Restrained Person’s</w:t>
          </w:r>
          <w:r w:rsidR="002C2260" w:rsidRPr="00055163" w:rsidDel="002C2260">
            <w:rPr>
              <w:rFonts w:ascii="Arial" w:hAnsi="Arial" w:cs="Arial"/>
              <w:sz w:val="18"/>
              <w:szCs w:val="18"/>
            </w:rPr>
            <w:t xml:space="preserve"> </w:t>
          </w:r>
          <w:r w:rsidRPr="00055163">
            <w:rPr>
              <w:rFonts w:ascii="Arial" w:hAnsi="Arial" w:cs="Arial"/>
              <w:sz w:val="18"/>
              <w:szCs w:val="18"/>
            </w:rPr>
            <w:t>Motion to Modify or Terminate Protection Order</w:t>
          </w:r>
        </w:p>
        <w:p w14:paraId="521BD1EC" w14:textId="0AC3C81F" w:rsidR="00C00270" w:rsidRPr="00055163" w:rsidRDefault="00C00270" w:rsidP="00C00270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55163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05516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5516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5516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6702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5516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55163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290FC5">
            <w:rPr>
              <w:rFonts w:ascii="Arial" w:hAnsi="Arial"/>
              <w:b/>
              <w:sz w:val="20"/>
            </w:rPr>
            <w:fldChar w:fldCharType="begin"/>
          </w:r>
          <w:r w:rsidR="00290FC5">
            <w:rPr>
              <w:rFonts w:ascii="Arial" w:hAnsi="Arial"/>
              <w:b/>
              <w:sz w:val="20"/>
            </w:rPr>
            <w:instrText xml:space="preserve"> SECTIONPAGES   \* MERGEFORMAT </w:instrText>
          </w:r>
          <w:r w:rsidR="00290FC5">
            <w:rPr>
              <w:rFonts w:ascii="Arial" w:hAnsi="Arial"/>
              <w:b/>
              <w:sz w:val="20"/>
            </w:rPr>
            <w:fldChar w:fldCharType="separate"/>
          </w:r>
          <w:r w:rsidR="0035309A">
            <w:rPr>
              <w:rFonts w:ascii="Arial" w:hAnsi="Arial"/>
              <w:b/>
              <w:noProof/>
              <w:sz w:val="20"/>
            </w:rPr>
            <w:t>3</w:t>
          </w:r>
          <w:r w:rsidR="00290FC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3192" w:type="dxa"/>
        </w:tcPr>
        <w:p w14:paraId="10511C7C" w14:textId="77777777" w:rsidR="00C00270" w:rsidRPr="00055163" w:rsidRDefault="00C00270" w:rsidP="00C0027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0831F1A" w14:textId="77777777" w:rsidR="00C00270" w:rsidRDefault="00C0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66CA" w14:textId="77777777" w:rsidR="00C35464" w:rsidRDefault="00C35464" w:rsidP="00C00270">
      <w:r>
        <w:separator/>
      </w:r>
    </w:p>
  </w:footnote>
  <w:footnote w:type="continuationSeparator" w:id="0">
    <w:p w14:paraId="4E138AD9" w14:textId="77777777" w:rsidR="00C35464" w:rsidRDefault="00C35464" w:rsidP="00C0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83B37"/>
    <w:multiLevelType w:val="hybridMultilevel"/>
    <w:tmpl w:val="F9ACDE28"/>
    <w:lvl w:ilvl="0" w:tplc="7426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00C15"/>
    <w:multiLevelType w:val="hybridMultilevel"/>
    <w:tmpl w:val="7A1E3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504382">
    <w:abstractNumId w:val="0"/>
  </w:num>
  <w:num w:numId="2" w16cid:durableId="734545338">
    <w:abstractNumId w:val="1"/>
  </w:num>
  <w:num w:numId="3" w16cid:durableId="833690998">
    <w:abstractNumId w:val="2"/>
  </w:num>
  <w:num w:numId="4" w16cid:durableId="295330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CE"/>
    <w:rsid w:val="00055163"/>
    <w:rsid w:val="00071532"/>
    <w:rsid w:val="001162AF"/>
    <w:rsid w:val="00157C29"/>
    <w:rsid w:val="00165F1A"/>
    <w:rsid w:val="00167028"/>
    <w:rsid w:val="001D6BD6"/>
    <w:rsid w:val="00230B44"/>
    <w:rsid w:val="00252237"/>
    <w:rsid w:val="00290FC5"/>
    <w:rsid w:val="002A173A"/>
    <w:rsid w:val="002B32B3"/>
    <w:rsid w:val="002B5F03"/>
    <w:rsid w:val="002C2260"/>
    <w:rsid w:val="002E1D2F"/>
    <w:rsid w:val="003041BF"/>
    <w:rsid w:val="0030528C"/>
    <w:rsid w:val="0035309A"/>
    <w:rsid w:val="003B461E"/>
    <w:rsid w:val="003F4E36"/>
    <w:rsid w:val="00416F3D"/>
    <w:rsid w:val="00457513"/>
    <w:rsid w:val="00467083"/>
    <w:rsid w:val="00467842"/>
    <w:rsid w:val="004A135F"/>
    <w:rsid w:val="004B0CE8"/>
    <w:rsid w:val="005468AF"/>
    <w:rsid w:val="005D50B3"/>
    <w:rsid w:val="00616A50"/>
    <w:rsid w:val="00623141"/>
    <w:rsid w:val="00645D12"/>
    <w:rsid w:val="00697C7C"/>
    <w:rsid w:val="006D17D0"/>
    <w:rsid w:val="006F2BA9"/>
    <w:rsid w:val="007551F7"/>
    <w:rsid w:val="0075569A"/>
    <w:rsid w:val="0084408C"/>
    <w:rsid w:val="00946476"/>
    <w:rsid w:val="00A45DD3"/>
    <w:rsid w:val="00A528FB"/>
    <w:rsid w:val="00A53232"/>
    <w:rsid w:val="00A53D2B"/>
    <w:rsid w:val="00AD1A00"/>
    <w:rsid w:val="00AF4C64"/>
    <w:rsid w:val="00B4094E"/>
    <w:rsid w:val="00B45E49"/>
    <w:rsid w:val="00BF2579"/>
    <w:rsid w:val="00C00270"/>
    <w:rsid w:val="00C0496F"/>
    <w:rsid w:val="00C35464"/>
    <w:rsid w:val="00C5032B"/>
    <w:rsid w:val="00C72040"/>
    <w:rsid w:val="00CD08F7"/>
    <w:rsid w:val="00CF0867"/>
    <w:rsid w:val="00D051E3"/>
    <w:rsid w:val="00DE5E5F"/>
    <w:rsid w:val="00E152A2"/>
    <w:rsid w:val="00E43606"/>
    <w:rsid w:val="00E43DCE"/>
    <w:rsid w:val="00FE1C3A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4FA11"/>
  <w15:chartTrackingRefBased/>
  <w15:docId w15:val="{34D24A24-CF3D-4922-B6F5-0E5AEF54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13"/>
    <w:pPr>
      <w:ind w:left="720"/>
      <w:contextualSpacing/>
    </w:pPr>
  </w:style>
  <w:style w:type="character" w:styleId="Hyperlink">
    <w:name w:val="Hyperlink"/>
    <w:semiHidden/>
    <w:rsid w:val="004B0CE8"/>
    <w:rPr>
      <w:rFonts w:cs="Times New Roman"/>
      <w:color w:val="0000FF"/>
      <w:u w:val="single"/>
    </w:rPr>
  </w:style>
  <w:style w:type="paragraph" w:customStyle="1" w:styleId="WABulletList">
    <w:name w:val="WA Bullet List"/>
    <w:basedOn w:val="Normal"/>
    <w:qFormat/>
    <w:rsid w:val="004B0CE8"/>
    <w:pPr>
      <w:tabs>
        <w:tab w:val="left" w:pos="1620"/>
      </w:tabs>
      <w:suppressAutoHyphens/>
      <w:overflowPunct/>
      <w:autoSpaceDE/>
      <w:autoSpaceDN/>
      <w:adjustRightInd/>
      <w:spacing w:before="60"/>
      <w:textAlignment w:val="auto"/>
    </w:pPr>
    <w:rPr>
      <w:rFonts w:ascii="Arial" w:eastAsia="MS Mincho" w:hAnsi="Arial" w:cs="Arial"/>
      <w:spacing w:val="-2"/>
      <w:sz w:val="22"/>
      <w:szCs w:val="22"/>
      <w:lang w:eastAsia="ja-JP"/>
    </w:rPr>
  </w:style>
  <w:style w:type="paragraph" w:customStyle="1" w:styleId="WABody38flush">
    <w:name w:val="WA Body .38&quot; flush"/>
    <w:basedOn w:val="Normal"/>
    <w:qFormat/>
    <w:rsid w:val="004B0C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Item">
    <w:name w:val="WA Item #"/>
    <w:basedOn w:val="Normal"/>
    <w:uiPriority w:val="99"/>
    <w:qFormat/>
    <w:rsid w:val="004B0C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0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270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00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270"/>
    <w:rPr>
      <w:rFonts w:ascii="CG Times" w:eastAsia="Times New Roman" w:hAnsi="CG Times" w:cs="Times New Roman"/>
      <w:sz w:val="24"/>
      <w:szCs w:val="20"/>
    </w:rPr>
  </w:style>
  <w:style w:type="paragraph" w:customStyle="1" w:styleId="PO5indenthanging">
    <w:name w:val="PO .5 indent hanging"/>
    <w:qFormat/>
    <w:rsid w:val="00C00270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C00270"/>
    <w:pPr>
      <w:spacing w:before="120" w:after="120"/>
      <w:ind w:left="720" w:hanging="720"/>
      <w:jc w:val="center"/>
    </w:pPr>
    <w:rPr>
      <w:rFonts w:ascii="Arial" w:hAnsi="Arial" w:cs="Arial"/>
      <w:b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0270"/>
    <w:rPr>
      <w:rFonts w:ascii="Arial" w:eastAsia="Times New Roman" w:hAnsi="Arial" w:cs="Arial"/>
      <w:b/>
    </w:rPr>
  </w:style>
  <w:style w:type="paragraph" w:customStyle="1" w:styleId="PO75indenthanging">
    <w:name w:val="PO .75 indent hanging"/>
    <w:qFormat/>
    <w:rsid w:val="00CD08F7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Default">
    <w:name w:val="Default"/>
    <w:rsid w:val="00C04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C0496F"/>
    <w:pPr>
      <w:spacing w:before="120" w:after="120" w:line="240" w:lineRule="auto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C0496F"/>
    <w:pPr>
      <w:tabs>
        <w:tab w:val="left" w:pos="-450"/>
        <w:tab w:val="left" w:pos="0"/>
        <w:tab w:val="left" w:pos="432"/>
        <w:tab w:val="left" w:pos="720"/>
        <w:tab w:val="left" w:pos="3600"/>
      </w:tabs>
      <w:spacing w:before="120"/>
    </w:pPr>
    <w:rPr>
      <w:rFonts w:ascii="Arial" w:hAnsi="Arial" w:cs="Arial"/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496F"/>
    <w:rPr>
      <w:rFonts w:ascii="Arial" w:eastAsia="Times New Roman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D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7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7D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7D0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urts.wa.gov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6898068F-2A1F-4293-9F26-DD60489AF0E4}"/>
</file>

<file path=customXml/itemProps2.xml><?xml version="1.0" encoding="utf-8"?>
<ds:datastoreItem xmlns:ds="http://schemas.openxmlformats.org/officeDocument/2006/customXml" ds:itemID="{C9DD3D25-C686-4A74-8146-606163C6DDB1}"/>
</file>

<file path=customXml/itemProps3.xml><?xml version="1.0" encoding="utf-8"?>
<ds:datastoreItem xmlns:ds="http://schemas.openxmlformats.org/officeDocument/2006/customXml" ds:itemID="{A29C5943-F5A6-465B-8448-7EC6271FE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3598</Characters>
  <Application>Microsoft Office Word</Application>
  <DocSecurity>0</DocSecurity>
  <Lines>128</Lines>
  <Paragraphs>91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064 Finding of Adequate Cause and Order on Heraing on Resp Motion to Modify or Terminate PO</dc:title>
  <dc:subject/>
  <dc:creator>AOC</dc:creator>
  <cp:keywords/>
  <dc:description/>
  <cp:lastModifiedBy>AOC</cp:lastModifiedBy>
  <cp:revision>2</cp:revision>
  <dcterms:created xsi:type="dcterms:W3CDTF">2024-10-02T18:06:00Z</dcterms:created>
  <dcterms:modified xsi:type="dcterms:W3CDTF">2024-10-02T18:06:00Z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